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517655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517655">
        <w:rPr>
          <w:sz w:val="24"/>
          <w:szCs w:val="24"/>
        </w:rPr>
        <w:t>янва</w:t>
      </w:r>
      <w:r w:rsidR="002E5706">
        <w:rPr>
          <w:sz w:val="24"/>
          <w:szCs w:val="24"/>
        </w:rPr>
        <w:t xml:space="preserve">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</w:t>
      </w:r>
      <w:r w:rsidR="00F84A79">
        <w:rPr>
          <w:b/>
          <w:sz w:val="24"/>
          <w:szCs w:val="24"/>
        </w:rPr>
        <w:t>подсолнечного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1765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C173C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Шрот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подсолнечный</w:t>
            </w:r>
            <w:r w:rsidR="003B41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4</w:t>
            </w:r>
            <w:r w:rsidR="00C173CC">
              <w:rPr>
                <w:color w:val="000000"/>
                <w:sz w:val="24"/>
                <w:szCs w:val="24"/>
                <w:lang w:eastAsia="en-US"/>
              </w:rPr>
              <w:t>126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C173CC" w:rsidP="00C173C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557010</w:t>
            </w:r>
            <w:r w:rsidR="00260D9E">
              <w:rPr>
                <w:sz w:val="24"/>
                <w:szCs w:val="24"/>
                <w:lang w:eastAsia="en-US"/>
              </w:rPr>
              <w:t xml:space="preserve"> (</w:t>
            </w:r>
            <w:r w:rsidR="00F84A79">
              <w:rPr>
                <w:sz w:val="24"/>
                <w:szCs w:val="24"/>
                <w:lang w:eastAsia="en-US"/>
              </w:rPr>
              <w:t xml:space="preserve">пятьсот </w:t>
            </w:r>
            <w:r>
              <w:rPr>
                <w:sz w:val="24"/>
                <w:szCs w:val="24"/>
                <w:lang w:eastAsia="en-US"/>
              </w:rPr>
              <w:t>пятьдесят семь тысяч десять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 w:rsidR="00517655">
              <w:rPr>
                <w:sz w:val="24"/>
                <w:szCs w:val="24"/>
                <w:lang w:eastAsia="en-US"/>
              </w:rPr>
              <w:t>ей, в том числе НДС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C173CC">
        <w:rPr>
          <w:sz w:val="24"/>
          <w:szCs w:val="24"/>
          <w:lang w:eastAsia="en-US"/>
        </w:rPr>
        <w:t>557010 (пятьсот пятьдесят семь тысяч десять)  рублей, в том числе НДС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C71A1"/>
    <w:rsid w:val="0015495B"/>
    <w:rsid w:val="00177DF4"/>
    <w:rsid w:val="001B02C1"/>
    <w:rsid w:val="002377ED"/>
    <w:rsid w:val="00260D9E"/>
    <w:rsid w:val="002E5706"/>
    <w:rsid w:val="003952C9"/>
    <w:rsid w:val="003B413B"/>
    <w:rsid w:val="004E7D14"/>
    <w:rsid w:val="00517655"/>
    <w:rsid w:val="00527092"/>
    <w:rsid w:val="00574DB5"/>
    <w:rsid w:val="005C5B41"/>
    <w:rsid w:val="00600FC4"/>
    <w:rsid w:val="006A6D19"/>
    <w:rsid w:val="00725BB1"/>
    <w:rsid w:val="007F0F82"/>
    <w:rsid w:val="0083236F"/>
    <w:rsid w:val="0089039C"/>
    <w:rsid w:val="008A7192"/>
    <w:rsid w:val="008B0DA7"/>
    <w:rsid w:val="00904499"/>
    <w:rsid w:val="00A36457"/>
    <w:rsid w:val="00AD0992"/>
    <w:rsid w:val="00AE6BCC"/>
    <w:rsid w:val="00B02AA0"/>
    <w:rsid w:val="00B26DCA"/>
    <w:rsid w:val="00C173CC"/>
    <w:rsid w:val="00CB5A8F"/>
    <w:rsid w:val="00D40937"/>
    <w:rsid w:val="00E152D8"/>
    <w:rsid w:val="00E62C2B"/>
    <w:rsid w:val="00E8121D"/>
    <w:rsid w:val="00EB0B9B"/>
    <w:rsid w:val="00F756BD"/>
    <w:rsid w:val="00F84A79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Company>Hewlett-Packard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2015-01-13T04:33:00Z</dcterms:created>
  <dcterms:modified xsi:type="dcterms:W3CDTF">2015-01-13T04:34:00Z</dcterms:modified>
</cp:coreProperties>
</file>