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71" w:rsidRDefault="00826571" w:rsidP="00826571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826571" w:rsidRDefault="00826571" w:rsidP="00826571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826571" w:rsidRDefault="00826571" w:rsidP="00826571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826571" w:rsidRDefault="00826571" w:rsidP="00826571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«04» июля  2014 г.</w:t>
      </w:r>
    </w:p>
    <w:p w:rsidR="00826571" w:rsidRDefault="00826571" w:rsidP="00826571">
      <w:pPr>
        <w:ind w:firstLine="567"/>
        <w:jc w:val="center"/>
        <w:rPr>
          <w:sz w:val="24"/>
          <w:szCs w:val="24"/>
        </w:rPr>
      </w:pPr>
    </w:p>
    <w:p w:rsidR="00826571" w:rsidRDefault="00826571" w:rsidP="008265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химических средств защиты растений для нужд ОАО «Птицефабрика «Молодежная»</w:t>
      </w:r>
    </w:p>
    <w:p w:rsidR="00826571" w:rsidRDefault="00826571" w:rsidP="00826571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826571" w:rsidRDefault="00826571" w:rsidP="00826571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826571" w:rsidTr="00002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826571" w:rsidTr="00002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826571" w:rsidRDefault="00826571" w:rsidP="00002B5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826571" w:rsidRDefault="00826571" w:rsidP="00002B5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826571" w:rsidRDefault="00826571" w:rsidP="00002B5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26571" w:rsidRDefault="00826571" w:rsidP="00002B5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826571" w:rsidRDefault="00826571" w:rsidP="00002B5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826571" w:rsidTr="00002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Химические средства защиты растений</w:t>
            </w:r>
          </w:p>
          <w:p w:rsidR="00826571" w:rsidRDefault="00826571" w:rsidP="00826571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Спецификации.</w:t>
            </w:r>
          </w:p>
        </w:tc>
      </w:tr>
      <w:tr w:rsidR="00826571" w:rsidTr="00002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826571" w:rsidTr="00002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826571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3953446,40(три миллиона девятьсот пятьдесят три тысячи четыреста сорок шесть) рублей, 40 коп. В том числе НДС</w:t>
            </w:r>
          </w:p>
        </w:tc>
      </w:tr>
      <w:tr w:rsidR="00826571" w:rsidTr="00002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826571" w:rsidTr="00002B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71" w:rsidRDefault="00826571" w:rsidP="00002B5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ТУ производителя и подтверждается сертификатом качества;</w:t>
      </w:r>
      <w:proofErr w:type="gramEnd"/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Поставка Продукции по соглашению сторон осуществляется </w:t>
      </w:r>
      <w:proofErr w:type="spellStart"/>
      <w:r>
        <w:rPr>
          <w:sz w:val="22"/>
          <w:szCs w:val="22"/>
        </w:rPr>
        <w:t>самовывозом</w:t>
      </w:r>
      <w:proofErr w:type="spellEnd"/>
      <w:r>
        <w:rPr>
          <w:sz w:val="22"/>
          <w:szCs w:val="22"/>
        </w:rPr>
        <w:t xml:space="preserve"> Покупателем, либо за счет Поставщика до склада Покупателя. Конкретные условия поставки указываются в заявке. Поставка осуществляется партиями или единовременно по заявке Покупателя</w:t>
      </w: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>
        <w:rPr>
          <w:sz w:val="24"/>
          <w:szCs w:val="24"/>
          <w:lang w:eastAsia="en-US"/>
        </w:rPr>
        <w:t xml:space="preserve">3953446,40(три миллиона девятьсот пятьдесят три тысячи четыреста сорок шесть) рублей, 40 </w:t>
      </w:r>
      <w:proofErr w:type="gramStart"/>
      <w:r>
        <w:rPr>
          <w:sz w:val="24"/>
          <w:szCs w:val="24"/>
          <w:lang w:eastAsia="en-US"/>
        </w:rPr>
        <w:t>коп</w:t>
      </w:r>
      <w:proofErr w:type="gramEnd"/>
      <w:r>
        <w:rPr>
          <w:sz w:val="22"/>
          <w:szCs w:val="22"/>
          <w:lang w:eastAsia="en-US"/>
        </w:rPr>
        <w:t xml:space="preserve"> в том числе НДС</w:t>
      </w:r>
      <w:r>
        <w:rPr>
          <w:sz w:val="22"/>
          <w:szCs w:val="22"/>
        </w:rPr>
        <w:t>;</w:t>
      </w:r>
    </w:p>
    <w:p w:rsidR="00826571" w:rsidRDefault="00826571" w:rsidP="0082657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</w:t>
      </w:r>
      <w:proofErr w:type="spellStart"/>
      <w:proofErr w:type="gramStart"/>
      <w:r>
        <w:rPr>
          <w:sz w:val="22"/>
          <w:szCs w:val="22"/>
        </w:rPr>
        <w:t>о\бязуется</w:t>
      </w:r>
      <w:proofErr w:type="spellEnd"/>
      <w:proofErr w:type="gramEnd"/>
      <w:r>
        <w:rPr>
          <w:sz w:val="22"/>
          <w:szCs w:val="22"/>
        </w:rPr>
        <w:t xml:space="preserve"> оплатить стоимость каждой партии поставляемой Продукции на следующих условиях: 100% оплата до 01 ноября 2014г. согласно Спецификации.</w:t>
      </w:r>
    </w:p>
    <w:p w:rsidR="00826571" w:rsidRDefault="00826571" w:rsidP="0082657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Цены включают НДС в размере 18%;</w:t>
      </w: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826571" w:rsidRDefault="00826571" w:rsidP="008265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177DF4" w:rsidRDefault="00826571" w:rsidP="00826571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sectPr w:rsidR="00177DF4" w:rsidSect="008265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71"/>
    <w:rsid w:val="0006027A"/>
    <w:rsid w:val="00177DF4"/>
    <w:rsid w:val="005C5B41"/>
    <w:rsid w:val="0082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26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826571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826571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826571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26571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826571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826571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4190</Characters>
  <Application>Microsoft Office Word</Application>
  <DocSecurity>0</DocSecurity>
  <Lines>34</Lines>
  <Paragraphs>9</Paragraphs>
  <ScaleCrop>false</ScaleCrop>
  <Company>Hewlett-Packard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2014-07-03T04:35:00Z</dcterms:created>
  <dcterms:modified xsi:type="dcterms:W3CDTF">2014-07-03T04:45:00Z</dcterms:modified>
</cp:coreProperties>
</file>